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0F7E37" w:rsidRPr="00CB6F3C" w:rsidTr="00F569E8">
        <w:tc>
          <w:tcPr>
            <w:tcW w:w="1728" w:type="dxa"/>
            <w:tcBorders>
              <w:top w:val="single" w:sz="4" w:space="0" w:color="auto"/>
              <w:left w:val="single" w:sz="4" w:space="0" w:color="auto"/>
              <w:bottom w:val="single" w:sz="4" w:space="0" w:color="auto"/>
            </w:tcBorders>
          </w:tcPr>
          <w:p w:rsidR="000F7E37" w:rsidRPr="00CB6F3C" w:rsidRDefault="000F7E37" w:rsidP="000F7E37">
            <w:pPr>
              <w:pStyle w:val="Heading2"/>
              <w:spacing w:before="0"/>
              <w:jc w:val="center"/>
              <w:outlineLvl w:val="1"/>
            </w:pPr>
          </w:p>
        </w:tc>
        <w:tc>
          <w:tcPr>
            <w:tcW w:w="9288" w:type="dxa"/>
            <w:tcBorders>
              <w:top w:val="single" w:sz="4" w:space="0" w:color="auto"/>
              <w:bottom w:val="single" w:sz="4" w:space="0" w:color="auto"/>
              <w:right w:val="single" w:sz="4" w:space="0" w:color="auto"/>
            </w:tcBorders>
          </w:tcPr>
          <w:p w:rsidR="000F7E37" w:rsidRPr="00CB6F3C" w:rsidRDefault="000F7E37" w:rsidP="000F7E37">
            <w:pPr>
              <w:pStyle w:val="Heading2"/>
              <w:spacing w:before="0"/>
              <w:outlineLvl w:val="1"/>
              <w:rPr>
                <w:rFonts w:cstheme="minorHAnsi"/>
                <w:color w:val="548DD4" w:themeColor="text2" w:themeTint="99"/>
                <w:sz w:val="28"/>
                <w:szCs w:val="28"/>
                <w:u w:val="single"/>
              </w:rPr>
            </w:pPr>
            <w:bookmarkStart w:id="0" w:name="history"/>
            <w:r>
              <w:rPr>
                <w:rFonts w:cstheme="minorHAnsi"/>
                <w:color w:val="548DD4" w:themeColor="text2" w:themeTint="99"/>
                <w:sz w:val="28"/>
                <w:szCs w:val="28"/>
                <w:u w:val="single"/>
              </w:rPr>
              <w:t xml:space="preserve">CFPB and Best Practices </w:t>
            </w:r>
            <w:r w:rsidRPr="00CB6F3C">
              <w:rPr>
                <w:rFonts w:cstheme="minorHAnsi"/>
                <w:color w:val="548DD4" w:themeColor="text2" w:themeTint="99"/>
                <w:sz w:val="28"/>
                <w:szCs w:val="28"/>
                <w:u w:val="single"/>
              </w:rPr>
              <w:t>HISTORY</w:t>
            </w:r>
          </w:p>
          <w:bookmarkEnd w:id="0"/>
          <w:p w:rsidR="000F7E37" w:rsidRPr="00CB6F3C" w:rsidRDefault="000F7E37" w:rsidP="000F7E37">
            <w:pPr>
              <w:pStyle w:val="Heading2"/>
              <w:spacing w:before="0"/>
              <w:jc w:val="center"/>
              <w:outlineLvl w:val="1"/>
              <w:rPr>
                <w:rFonts w:asciiTheme="minorHAnsi" w:hAnsiTheme="minorHAnsi" w:cstheme="minorHAnsi"/>
                <w:b w:val="0"/>
                <w:color w:val="616161"/>
                <w:sz w:val="20"/>
                <w:szCs w:val="20"/>
              </w:rPr>
            </w:pPr>
          </w:p>
        </w:tc>
      </w:tr>
      <w:tr w:rsidR="000F7E37" w:rsidRPr="00496C73" w:rsidTr="00F569E8">
        <w:tc>
          <w:tcPr>
            <w:tcW w:w="1728" w:type="dxa"/>
            <w:tcBorders>
              <w:top w:val="single" w:sz="4" w:space="0" w:color="auto"/>
            </w:tcBorders>
          </w:tcPr>
          <w:p w:rsidR="000F7E37" w:rsidRPr="00496C73" w:rsidRDefault="000F7E37" w:rsidP="00F569E8">
            <w:pPr>
              <w:pStyle w:val="Heading2"/>
              <w:spacing w:before="0"/>
              <w:outlineLvl w:val="1"/>
              <w:rPr>
                <w:rFonts w:asciiTheme="minorHAnsi" w:hAnsiTheme="minorHAnsi" w:cstheme="minorHAnsi"/>
                <w:color w:val="548DD4" w:themeColor="text2" w:themeTint="99"/>
                <w:sz w:val="20"/>
                <w:szCs w:val="20"/>
              </w:rPr>
            </w:pPr>
            <w:r w:rsidRPr="00496C73">
              <w:rPr>
                <w:rFonts w:asciiTheme="minorHAnsi" w:hAnsiTheme="minorHAnsi" w:cstheme="minorHAnsi"/>
                <w:color w:val="548DD4" w:themeColor="text2" w:themeTint="99"/>
                <w:sz w:val="20"/>
                <w:szCs w:val="20"/>
              </w:rPr>
              <w:t>May 24, 2000</w:t>
            </w:r>
          </w:p>
        </w:tc>
        <w:tc>
          <w:tcPr>
            <w:tcW w:w="9288" w:type="dxa"/>
            <w:tcBorders>
              <w:top w:val="single" w:sz="4" w:space="0" w:color="auto"/>
            </w:tcBorders>
          </w:tcPr>
          <w:p w:rsidR="000F7E37" w:rsidRPr="00496C73" w:rsidRDefault="000F7E37" w:rsidP="00F569E8">
            <w:pPr>
              <w:shd w:val="clear" w:color="auto" w:fill="FFFFFF" w:themeFill="background1"/>
              <w:rPr>
                <w:rFonts w:asciiTheme="minorHAnsi" w:hAnsiTheme="minorHAnsi" w:cstheme="minorHAnsi"/>
                <w:szCs w:val="20"/>
              </w:rPr>
            </w:pPr>
            <w:r w:rsidRPr="00496C73">
              <w:rPr>
                <w:rFonts w:asciiTheme="minorHAnsi" w:hAnsiTheme="minorHAnsi" w:cstheme="minorHAnsi"/>
                <w:color w:val="616161"/>
                <w:szCs w:val="20"/>
              </w:rPr>
              <w:t>Gramm-Leach-Bliley privacy regulations</w:t>
            </w:r>
            <w:r w:rsidRPr="00496C73">
              <w:rPr>
                <w:rFonts w:asciiTheme="minorHAnsi" w:hAnsiTheme="minorHAnsi" w:cstheme="minorHAnsi"/>
                <w:szCs w:val="20"/>
              </w:rPr>
              <w:t>:</w:t>
            </w:r>
          </w:p>
          <w:p w:rsidR="000F7E37" w:rsidRPr="00496C73" w:rsidRDefault="009A143A" w:rsidP="00F569E8">
            <w:pPr>
              <w:rPr>
                <w:rFonts w:asciiTheme="minorHAnsi" w:eastAsia="Calibri" w:hAnsiTheme="minorHAnsi" w:cstheme="minorHAnsi"/>
                <w:szCs w:val="20"/>
              </w:rPr>
            </w:pPr>
            <w:hyperlink r:id="rId5" w:history="1">
              <w:r w:rsidR="000F7E37" w:rsidRPr="00496C73">
                <w:rPr>
                  <w:rStyle w:val="Hyperlink"/>
                  <w:rFonts w:asciiTheme="minorHAnsi" w:eastAsia="Calibri" w:hAnsiTheme="minorHAnsi" w:cstheme="minorHAnsi"/>
                  <w:szCs w:val="20"/>
                </w:rPr>
                <w:t>http://ftc.gov/privacy/privacyinitiatives/PrivacyModelForm_FR.pdf</w:t>
              </w:r>
            </w:hyperlink>
          </w:p>
          <w:p w:rsidR="000F7E37" w:rsidRPr="00A72F2C" w:rsidRDefault="009A143A" w:rsidP="00F569E8">
            <w:pPr>
              <w:pStyle w:val="ListParagraph"/>
              <w:spacing w:before="0" w:after="0"/>
              <w:ind w:left="0"/>
              <w:rPr>
                <w:rFonts w:asciiTheme="minorHAnsi" w:hAnsiTheme="minorHAnsi" w:cstheme="minorHAnsi"/>
                <w:color w:val="404040" w:themeColor="text1" w:themeTint="BF"/>
              </w:rPr>
            </w:pPr>
            <w:hyperlink r:id="rId6" w:history="1">
              <w:r w:rsidR="000F7E37" w:rsidRPr="00496C73">
                <w:rPr>
                  <w:rStyle w:val="Hyperlink"/>
                  <w:rFonts w:asciiTheme="minorHAnsi" w:hAnsiTheme="minorHAnsi" w:cstheme="minorHAnsi"/>
                </w:rPr>
                <w:t>www.ecfr.gov</w:t>
              </w:r>
            </w:hyperlink>
            <w:r w:rsidR="000F7E37" w:rsidRPr="00A72F2C">
              <w:rPr>
                <w:rStyle w:val="Hyperlink"/>
                <w:rFonts w:asciiTheme="minorHAnsi" w:eastAsia="Calibri" w:hAnsiTheme="minorHAnsi" w:cstheme="minorHAnsi"/>
                <w:color w:val="404040" w:themeColor="text1" w:themeTint="BF"/>
              </w:rPr>
              <w:t xml:space="preserve">, Title 16: Commercial Practices, Part 313, Privacy, 15 U.S.C. 6801 </w:t>
            </w:r>
            <w:r w:rsidR="000F7E37" w:rsidRPr="00A72F2C">
              <w:rPr>
                <w:rStyle w:val="Hyperlink"/>
                <w:rFonts w:asciiTheme="minorHAnsi" w:eastAsia="Calibri" w:hAnsiTheme="minorHAnsi" w:cstheme="minorHAnsi"/>
                <w:i/>
                <w:color w:val="404040" w:themeColor="text1" w:themeTint="BF"/>
              </w:rPr>
              <w:t>et seq.</w:t>
            </w:r>
            <w:r w:rsidR="000F7E37" w:rsidRPr="00A72F2C">
              <w:rPr>
                <w:rStyle w:val="Hyperlink"/>
                <w:rFonts w:asciiTheme="minorHAnsi" w:eastAsia="Calibri" w:hAnsiTheme="minorHAnsi" w:cstheme="minorHAnsi"/>
                <w:color w:val="404040" w:themeColor="text1" w:themeTint="BF"/>
              </w:rPr>
              <w:t>, 65 FR 33677, May 24, 2000</w:t>
            </w:r>
          </w:p>
          <w:p w:rsidR="000F7E37" w:rsidRPr="00496C73" w:rsidRDefault="000F7E37" w:rsidP="00F569E8">
            <w:pPr>
              <w:pStyle w:val="Heading2"/>
              <w:spacing w:before="0"/>
              <w:outlineLvl w:val="1"/>
              <w:rPr>
                <w:rFonts w:asciiTheme="minorHAnsi" w:hAnsiTheme="minorHAnsi" w:cstheme="minorHAnsi"/>
                <w:b w:val="0"/>
                <w:color w:val="616161"/>
                <w:sz w:val="20"/>
                <w:szCs w:val="20"/>
              </w:rPr>
            </w:pPr>
          </w:p>
        </w:tc>
      </w:tr>
      <w:tr w:rsidR="000F7E37" w:rsidRPr="00CB6F3C" w:rsidTr="00F569E8">
        <w:tc>
          <w:tcPr>
            <w:tcW w:w="1728" w:type="dxa"/>
          </w:tcPr>
          <w:p w:rsidR="000F7E37" w:rsidRPr="00CB6F3C" w:rsidRDefault="000F7E37" w:rsidP="00F569E8">
            <w:pPr>
              <w:pStyle w:val="Heading2"/>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July 21, 2010</w:t>
            </w:r>
          </w:p>
        </w:tc>
        <w:tc>
          <w:tcPr>
            <w:tcW w:w="9288" w:type="dxa"/>
          </w:tcPr>
          <w:p w:rsidR="000F7E37" w:rsidRPr="00CB6F3C" w:rsidRDefault="000F7E37" w:rsidP="00F569E8">
            <w:pPr>
              <w:pStyle w:val="Heading2"/>
              <w:spacing w:before="0"/>
              <w:outlineLvl w:val="1"/>
              <w:rPr>
                <w:rFonts w:asciiTheme="minorHAnsi" w:hAnsiTheme="minorHAnsi" w:cstheme="minorHAnsi"/>
                <w:b w:val="0"/>
                <w:color w:val="616161"/>
                <w:sz w:val="20"/>
                <w:szCs w:val="20"/>
              </w:rPr>
            </w:pPr>
            <w:r w:rsidRPr="00CB6F3C">
              <w:rPr>
                <w:rFonts w:asciiTheme="minorHAnsi" w:hAnsiTheme="minorHAnsi" w:cstheme="minorHAnsi"/>
                <w:b w:val="0"/>
                <w:color w:val="616161"/>
                <w:sz w:val="20"/>
                <w:szCs w:val="20"/>
              </w:rPr>
              <w:t xml:space="preserve">Dodd-Frank Act (Dodd-Frank Wall Street Reform and Consumer Protection Act), </w:t>
            </w:r>
            <w:hyperlink r:id="rId7" w:tgtFrame="_new" w:history="1">
              <w:r w:rsidRPr="00CB6F3C">
                <w:rPr>
                  <w:rStyle w:val="Hyperlink"/>
                  <w:rFonts w:asciiTheme="minorHAnsi" w:hAnsiTheme="minorHAnsi" w:cstheme="minorHAnsi"/>
                  <w:b w:val="0"/>
                  <w:sz w:val="20"/>
                  <w:szCs w:val="20"/>
                </w:rPr>
                <w:t>www.sec.gov/about/laws/wallstreetreform-cpa.pdf</w:t>
              </w:r>
            </w:hyperlink>
            <w:r w:rsidRPr="00CB6F3C">
              <w:rPr>
                <w:rFonts w:asciiTheme="minorHAnsi" w:hAnsiTheme="minorHAnsi" w:cstheme="minorHAnsi"/>
                <w:b w:val="0"/>
                <w:color w:val="616161"/>
                <w:sz w:val="20"/>
                <w:szCs w:val="20"/>
              </w:rPr>
              <w:t xml:space="preserve">:  Among other things, creates the Consumer Financial Protection Bureau (CFPB) </w:t>
            </w:r>
            <w:hyperlink r:id="rId8" w:tgtFrame="_new" w:history="1">
              <w:r w:rsidRPr="00CB6F3C">
                <w:rPr>
                  <w:rStyle w:val="Hyperlink"/>
                  <w:rFonts w:asciiTheme="minorHAnsi" w:hAnsiTheme="minorHAnsi" w:cstheme="minorHAnsi"/>
                  <w:b w:val="0"/>
                  <w:sz w:val="20"/>
                  <w:szCs w:val="20"/>
                </w:rPr>
                <w:t>www.consumerfinance.gov</w:t>
              </w:r>
            </w:hyperlink>
            <w:r w:rsidRPr="00CB6F3C">
              <w:rPr>
                <w:rFonts w:asciiTheme="minorHAnsi" w:hAnsiTheme="minorHAnsi" w:cstheme="minorHAnsi"/>
                <w:b w:val="0"/>
                <w:color w:val="616161"/>
                <w:sz w:val="20"/>
                <w:szCs w:val="20"/>
              </w:rPr>
              <w:t xml:space="preserve"> and directs the combination of consumer disclosure forms.</w:t>
            </w:r>
          </w:p>
          <w:p w:rsidR="000F7E37" w:rsidRPr="00CB6F3C" w:rsidRDefault="000F7E37" w:rsidP="00F569E8">
            <w:pPr>
              <w:rPr>
                <w:rFonts w:asciiTheme="minorHAnsi" w:hAnsiTheme="minorHAnsi" w:cstheme="minorHAnsi"/>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January 4, 2011</w:t>
            </w:r>
          </w:p>
          <w:p w:rsidR="000F7E37" w:rsidRPr="00CB6F3C" w:rsidRDefault="000F7E37" w:rsidP="00F569E8">
            <w:pPr>
              <w:pStyle w:val="Heading2"/>
              <w:spacing w:before="0"/>
              <w:outlineLvl w:val="1"/>
              <w:rPr>
                <w:rFonts w:asciiTheme="minorHAnsi" w:hAnsiTheme="minorHAnsi" w:cstheme="minorHAnsi"/>
                <w:color w:val="548DD4" w:themeColor="text2" w:themeTint="99"/>
                <w:sz w:val="20"/>
                <w:szCs w:val="20"/>
              </w:rPr>
            </w:pPr>
          </w:p>
        </w:tc>
        <w:tc>
          <w:tcPr>
            <w:tcW w:w="9288" w:type="dxa"/>
          </w:tcPr>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CFPB </w:t>
            </w:r>
            <w:hyperlink r:id="rId9" w:tgtFrame="_new" w:history="1">
              <w:r w:rsidRPr="00CB6F3C">
                <w:rPr>
                  <w:rStyle w:val="Hyperlink"/>
                  <w:rFonts w:asciiTheme="minorHAnsi" w:hAnsiTheme="minorHAnsi" w:cstheme="minorHAnsi"/>
                  <w:sz w:val="20"/>
                  <w:szCs w:val="20"/>
                </w:rPr>
                <w:t>(Consumer Financial Protection Bureau)</w:t>
              </w:r>
            </w:hyperlink>
            <w:r w:rsidRPr="00CB6F3C">
              <w:rPr>
                <w:rFonts w:asciiTheme="minorHAnsi" w:hAnsiTheme="minorHAnsi" w:cstheme="minorHAnsi"/>
                <w:color w:val="616161"/>
                <w:sz w:val="20"/>
                <w:szCs w:val="20"/>
              </w:rPr>
              <w:t xml:space="preserve"> issued a </w:t>
            </w:r>
            <w:hyperlink r:id="rId10" w:tgtFrame="_new" w:history="1">
              <w:r w:rsidRPr="00CB6F3C">
                <w:rPr>
                  <w:rStyle w:val="Hyperlink"/>
                  <w:rFonts w:asciiTheme="minorHAnsi" w:hAnsiTheme="minorHAnsi" w:cstheme="minorHAnsi"/>
                  <w:sz w:val="20"/>
                  <w:szCs w:val="20"/>
                </w:rPr>
                <w:t>press release</w:t>
              </w:r>
            </w:hyperlink>
            <w:r w:rsidRPr="00CB6F3C">
              <w:rPr>
                <w:rFonts w:asciiTheme="minorHAnsi" w:hAnsiTheme="minorHAnsi" w:cstheme="minorHAnsi"/>
                <w:color w:val="616161"/>
                <w:sz w:val="20"/>
                <w:szCs w:val="20"/>
              </w:rPr>
              <w:t> announcing its partnership with state regulators to supervise providers of consumer financial products and services.</w:t>
            </w:r>
            <w:r>
              <w:rPr>
                <w:rFonts w:asciiTheme="minorHAnsi" w:hAnsiTheme="minorHAnsi" w:cstheme="minorHAnsi"/>
                <w:color w:val="616161"/>
                <w:sz w:val="20"/>
                <w:szCs w:val="20"/>
              </w:rPr>
              <w:t xml:space="preserve">  CFPB h</w:t>
            </w:r>
            <w:r w:rsidRPr="00CB6F3C">
              <w:rPr>
                <w:rFonts w:asciiTheme="minorHAnsi" w:hAnsiTheme="minorHAnsi" w:cstheme="minorHAnsi"/>
                <w:color w:val="616161"/>
                <w:sz w:val="20"/>
                <w:szCs w:val="20"/>
              </w:rPr>
              <w:t>as supervisory and enforcement authority over banks and nonbanks for compliance with federal consumer financial laws.</w:t>
            </w:r>
            <w:r>
              <w:rPr>
                <w:rFonts w:asciiTheme="minorHAnsi" w:hAnsiTheme="minorHAnsi" w:cstheme="minorHAnsi"/>
                <w:color w:val="616161"/>
                <w:sz w:val="20"/>
                <w:szCs w:val="20"/>
              </w:rPr>
              <w:t xml:space="preserve">  CFPB also h</w:t>
            </w:r>
            <w:r w:rsidRPr="00CB6F3C">
              <w:rPr>
                <w:rFonts w:asciiTheme="minorHAnsi" w:hAnsiTheme="minorHAnsi" w:cstheme="minorHAnsi"/>
                <w:color w:val="616161"/>
                <w:sz w:val="20"/>
                <w:szCs w:val="20"/>
              </w:rPr>
              <w:t>as supervisory and enforcement authority over service providers to banks and nonbanks for compliance with federal consumer financial laws.</w:t>
            </w:r>
            <w:r>
              <w:rPr>
                <w:rFonts w:asciiTheme="minorHAnsi" w:hAnsiTheme="minorHAnsi" w:cstheme="minorHAnsi"/>
                <w:color w:val="616161"/>
                <w:sz w:val="20"/>
                <w:szCs w:val="20"/>
              </w:rPr>
              <w:t xml:space="preserve">  </w:t>
            </w:r>
            <w:r w:rsidRPr="00CB6F3C">
              <w:rPr>
                <w:rFonts w:asciiTheme="minorHAnsi" w:hAnsiTheme="minorHAnsi" w:cstheme="minorHAnsi"/>
                <w:color w:val="616161"/>
                <w:sz w:val="20"/>
                <w:szCs w:val="20"/>
              </w:rPr>
              <w:t xml:space="preserve">A current </w:t>
            </w:r>
            <w:hyperlink r:id="rId11" w:tgtFrame="_new" w:history="1">
              <w:r w:rsidRPr="00CB6F3C">
                <w:rPr>
                  <w:rStyle w:val="Hyperlink"/>
                  <w:rFonts w:asciiTheme="minorHAnsi" w:hAnsiTheme="minorHAnsi" w:cstheme="minorHAnsi"/>
                  <w:sz w:val="20"/>
                  <w:szCs w:val="20"/>
                </w:rPr>
                <w:t>list of institutions</w:t>
              </w:r>
            </w:hyperlink>
            <w:r w:rsidRPr="00CB6F3C">
              <w:rPr>
                <w:rFonts w:asciiTheme="minorHAnsi" w:hAnsiTheme="minorHAnsi" w:cstheme="minorHAnsi"/>
                <w:color w:val="616161"/>
                <w:sz w:val="20"/>
                <w:szCs w:val="20"/>
              </w:rPr>
              <w:t xml:space="preserve"> supervised by CFPB is available on the </w:t>
            </w:r>
            <w:hyperlink r:id="rId12" w:tgtFrame="_new" w:history="1">
              <w:r w:rsidRPr="00CB6F3C">
                <w:rPr>
                  <w:rStyle w:val="Hyperlink"/>
                  <w:rFonts w:asciiTheme="minorHAnsi" w:hAnsiTheme="minorHAnsi" w:cstheme="minorHAnsi"/>
                  <w:sz w:val="20"/>
                  <w:szCs w:val="20"/>
                </w:rPr>
                <w:t>CFPB website</w:t>
              </w:r>
            </w:hyperlink>
            <w:r w:rsidRPr="00CB6F3C">
              <w:rPr>
                <w:rFonts w:asciiTheme="minorHAnsi" w:hAnsiTheme="minorHAnsi" w:cstheme="minorHAnsi"/>
                <w:color w:val="616161"/>
                <w:sz w:val="20"/>
                <w:szCs w:val="20"/>
              </w:rPr>
              <w:t>.</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April 13, 2012</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CFPB </w:t>
            </w:r>
            <w:r>
              <w:rPr>
                <w:rFonts w:asciiTheme="minorHAnsi" w:hAnsiTheme="minorHAnsi" w:cstheme="minorHAnsi"/>
                <w:color w:val="616161"/>
                <w:sz w:val="20"/>
                <w:szCs w:val="20"/>
              </w:rPr>
              <w:t xml:space="preserve">issues </w:t>
            </w:r>
            <w:r w:rsidRPr="00CB6F3C">
              <w:rPr>
                <w:rFonts w:asciiTheme="minorHAnsi" w:hAnsiTheme="minorHAnsi" w:cstheme="minorHAnsi"/>
                <w:color w:val="616161"/>
                <w:sz w:val="20"/>
                <w:szCs w:val="20"/>
              </w:rPr>
              <w:t xml:space="preserve">Bulletin 2012-03 </w:t>
            </w:r>
            <w:hyperlink r:id="rId13" w:tgtFrame="_new" w:history="1">
              <w:r w:rsidRPr="00CB6F3C">
                <w:rPr>
                  <w:rStyle w:val="Hyperlink"/>
                  <w:rFonts w:asciiTheme="minorHAnsi" w:hAnsiTheme="minorHAnsi" w:cstheme="minorHAnsi"/>
                  <w:sz w:val="20"/>
                  <w:szCs w:val="20"/>
                </w:rPr>
                <w:t>(http://files.consumerfinance.gov/f/201204_cfpb_bulletin_service-providers.pdf)</w:t>
              </w:r>
            </w:hyperlink>
            <w:r>
              <w:rPr>
                <w:rFonts w:asciiTheme="minorHAnsi" w:hAnsiTheme="minorHAnsi" w:cstheme="minorHAnsi"/>
                <w:color w:val="616161"/>
                <w:sz w:val="20"/>
                <w:szCs w:val="20"/>
              </w:rPr>
              <w:t>, a g</w:t>
            </w:r>
            <w:r w:rsidRPr="00CB6F3C">
              <w:rPr>
                <w:rFonts w:asciiTheme="minorHAnsi" w:hAnsiTheme="minorHAnsi" w:cstheme="minorHAnsi"/>
                <w:color w:val="616161"/>
                <w:sz w:val="20"/>
                <w:szCs w:val="20"/>
              </w:rPr>
              <w:t>uidance document to the industry specifying five steps to be taken by the banks and nonbanks under CFPB supervision, to ensure that business arrangements with service providers do not present unwarranted risks to consumers.</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July 9, 2012</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Default="000F7E37" w:rsidP="000F7E37">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CFPB 1,099 page </w:t>
            </w:r>
            <w:hyperlink r:id="rId14" w:anchor="!documentDetail;D=CFPB-2012-0028-0001" w:tgtFrame="_new" w:history="1">
              <w:r w:rsidRPr="00CB6F3C">
                <w:rPr>
                  <w:rStyle w:val="Hyperlink"/>
                  <w:rFonts w:asciiTheme="minorHAnsi" w:hAnsiTheme="minorHAnsi" w:cstheme="minorHAnsi"/>
                  <w:sz w:val="20"/>
                  <w:szCs w:val="20"/>
                </w:rPr>
                <w:t>proposed rule</w:t>
              </w:r>
            </w:hyperlink>
            <w:r w:rsidRPr="00CB6F3C">
              <w:rPr>
                <w:rFonts w:asciiTheme="minorHAnsi" w:hAnsiTheme="minorHAnsi" w:cstheme="minorHAnsi"/>
                <w:color w:val="616161"/>
                <w:sz w:val="20"/>
                <w:szCs w:val="20"/>
              </w:rPr>
              <w:t xml:space="preserve"> [Integrated Mortgage Disclosures under the Real Estate Settlement Procedures Act (Regulation X) and the Truth in Lending Act (Regulation Z)]. </w:t>
            </w:r>
          </w:p>
          <w:p w:rsidR="000F7E37" w:rsidRPr="00CB6F3C" w:rsidRDefault="000F7E37" w:rsidP="000F7E37">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 </w:t>
            </w: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November 2012</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Consumer Financial Protection Bureau </w:t>
            </w:r>
            <w:hyperlink r:id="rId15" w:tgtFrame="_new" w:history="1">
              <w:r w:rsidRPr="00CB6F3C">
                <w:rPr>
                  <w:rStyle w:val="Hyperlink"/>
                  <w:rFonts w:asciiTheme="minorHAnsi" w:hAnsiTheme="minorHAnsi" w:cstheme="minorHAnsi"/>
                  <w:sz w:val="20"/>
                  <w:szCs w:val="20"/>
                </w:rPr>
                <w:t>announced</w:t>
              </w:r>
            </w:hyperlink>
            <w:r w:rsidRPr="00CB6F3C">
              <w:rPr>
                <w:rFonts w:asciiTheme="minorHAnsi" w:hAnsiTheme="minorHAnsi" w:cstheme="minorHAnsi"/>
                <w:color w:val="616161"/>
                <w:sz w:val="20"/>
                <w:szCs w:val="20"/>
              </w:rPr>
              <w:t xml:space="preserve"> that it will not require lenders to provide to consumers the new disclosures created under Title 14 of the Dodd-Frank Act. Instead, these disclosures (such as “Total Interest Percentage” and “Average Cost of Funds”) will go into effect once the Bureau finalizes its effort to integrate disclosures from the Truth in Lending Act (TILA) and the Real Estate Settlement Procedures Act (RESPA).</w:t>
            </w:r>
            <w:r>
              <w:rPr>
                <w:rFonts w:asciiTheme="minorHAnsi" w:hAnsiTheme="minorHAnsi" w:cstheme="minorHAnsi"/>
                <w:color w:val="616161"/>
                <w:sz w:val="20"/>
                <w:szCs w:val="20"/>
              </w:rPr>
              <w:t xml:space="preserve">  Several warehouse lenders postponed impleme</w:t>
            </w:r>
            <w:r w:rsidRPr="00CB6F3C">
              <w:rPr>
                <w:rFonts w:asciiTheme="minorHAnsi" w:hAnsiTheme="minorHAnsi" w:cstheme="minorHAnsi"/>
                <w:color w:val="616161"/>
                <w:sz w:val="20"/>
                <w:szCs w:val="20"/>
              </w:rPr>
              <w:t>ntation of their vetting requirements until further notice. As a result, it is expected that mortgage lenders and brokers who utilize these companies' warehouse services will do the same.</w:t>
            </w:r>
            <w:r>
              <w:rPr>
                <w:rFonts w:asciiTheme="minorHAnsi" w:hAnsiTheme="minorHAnsi" w:cstheme="minorHAnsi"/>
                <w:color w:val="616161"/>
                <w:sz w:val="20"/>
                <w:szCs w:val="20"/>
              </w:rPr>
              <w:t xml:space="preserve">  </w:t>
            </w:r>
            <w:proofErr w:type="spellStart"/>
            <w:r w:rsidRPr="00CB6F3C">
              <w:rPr>
                <w:rFonts w:asciiTheme="minorHAnsi" w:hAnsiTheme="minorHAnsi" w:cstheme="minorHAnsi"/>
                <w:color w:val="616161"/>
                <w:sz w:val="20"/>
                <w:szCs w:val="20"/>
              </w:rPr>
              <w:t>Amerisave</w:t>
            </w:r>
            <w:proofErr w:type="spellEnd"/>
            <w:r w:rsidRPr="00CB6F3C">
              <w:rPr>
                <w:rFonts w:asciiTheme="minorHAnsi" w:hAnsiTheme="minorHAnsi" w:cstheme="minorHAnsi"/>
                <w:color w:val="616161"/>
                <w:sz w:val="20"/>
                <w:szCs w:val="20"/>
              </w:rPr>
              <w:t xml:space="preserve"> Mortgage Corporation and Generation Mortgage Company postponed their January 1, 2013 deadline for title and settlement companies to obtain certification from third-party vetting companies in order to continue receiving business from them.</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January 2, 2013</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American Land Title Association (ALTA) </w:t>
            </w:r>
            <w:hyperlink r:id="rId16" w:tgtFrame="_new" w:history="1">
              <w:r w:rsidRPr="00CB6F3C">
                <w:rPr>
                  <w:rStyle w:val="Hyperlink"/>
                  <w:rFonts w:asciiTheme="minorHAnsi" w:hAnsiTheme="minorHAnsi" w:cstheme="minorHAnsi"/>
                  <w:sz w:val="20"/>
                  <w:szCs w:val="20"/>
                </w:rPr>
                <w:t>www.alta.org</w:t>
              </w:r>
            </w:hyperlink>
            <w:r w:rsidRPr="00CB6F3C">
              <w:rPr>
                <w:rFonts w:asciiTheme="minorHAnsi" w:hAnsiTheme="minorHAnsi" w:cstheme="minorHAnsi"/>
                <w:color w:val="616161"/>
                <w:sz w:val="20"/>
                <w:szCs w:val="20"/>
              </w:rPr>
              <w:t xml:space="preserve"> released the </w:t>
            </w:r>
            <w:hyperlink r:id="rId17" w:tgtFrame="_new" w:history="1">
              <w:r w:rsidRPr="00CB6F3C">
                <w:rPr>
                  <w:rStyle w:val="Hyperlink"/>
                  <w:rFonts w:asciiTheme="minorHAnsi" w:hAnsiTheme="minorHAnsi" w:cstheme="minorHAnsi"/>
                  <w:sz w:val="20"/>
                  <w:szCs w:val="20"/>
                </w:rPr>
                <w:t>ALTA Title Insurance and Settlement Company Best Practices</w:t>
              </w:r>
            </w:hyperlink>
            <w:r w:rsidRPr="00CB6F3C">
              <w:rPr>
                <w:rFonts w:asciiTheme="minorHAnsi" w:hAnsiTheme="minorHAnsi" w:cstheme="minorHAnsi"/>
                <w:color w:val="616161"/>
                <w:sz w:val="20"/>
                <w:szCs w:val="20"/>
              </w:rPr>
              <w:t> (Best Practices) to its membership. Recent bulletins and consent orders from the Federal Reserve, CFPB and Office of the Comptroller of the Currency (OCC) have caused lenders to reexamine their relationships with service providers, including</w:t>
            </w:r>
            <w:r>
              <w:rPr>
                <w:rFonts w:asciiTheme="minorHAnsi" w:hAnsiTheme="minorHAnsi" w:cstheme="minorHAnsi"/>
                <w:color w:val="616161"/>
                <w:sz w:val="20"/>
                <w:szCs w:val="20"/>
              </w:rPr>
              <w:t xml:space="preserve"> closing attorneys and </w:t>
            </w:r>
            <w:r w:rsidRPr="00CB6F3C">
              <w:rPr>
                <w:rFonts w:asciiTheme="minorHAnsi" w:hAnsiTheme="minorHAnsi" w:cstheme="minorHAnsi"/>
                <w:color w:val="616161"/>
                <w:sz w:val="20"/>
                <w:szCs w:val="20"/>
              </w:rPr>
              <w:t>title insurance settlement agents, and in some instances utilize the services of</w:t>
            </w:r>
            <w:r>
              <w:rPr>
                <w:rFonts w:asciiTheme="minorHAnsi" w:hAnsiTheme="minorHAnsi" w:cstheme="minorHAnsi"/>
                <w:color w:val="616161"/>
                <w:sz w:val="20"/>
                <w:szCs w:val="20"/>
              </w:rPr>
              <w:t xml:space="preserve"> vetting companies.  ALTA c</w:t>
            </w:r>
            <w:r w:rsidRPr="00CB6F3C">
              <w:rPr>
                <w:rFonts w:asciiTheme="minorHAnsi" w:hAnsiTheme="minorHAnsi" w:cstheme="minorHAnsi"/>
                <w:color w:val="616161"/>
                <w:sz w:val="20"/>
                <w:szCs w:val="20"/>
              </w:rPr>
              <w:t>reated the Best Practices as a way to highlight the strong business practices employed by title and settlement companies that protect lenders and consumers.</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t>June 25, 2013</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CFPB issued </w:t>
            </w:r>
            <w:hyperlink r:id="rId18" w:tgtFrame="_new" w:history="1">
              <w:r w:rsidRPr="00CB6F3C">
                <w:rPr>
                  <w:rStyle w:val="Hyperlink"/>
                  <w:rFonts w:asciiTheme="minorHAnsi" w:hAnsiTheme="minorHAnsi" w:cstheme="minorHAnsi"/>
                  <w:sz w:val="20"/>
                  <w:szCs w:val="20"/>
                </w:rPr>
                <w:t>Bulletin 2013-06</w:t>
              </w:r>
            </w:hyperlink>
            <w:r w:rsidRPr="00CB6F3C">
              <w:rPr>
                <w:rFonts w:asciiTheme="minorHAnsi" w:hAnsiTheme="minorHAnsi" w:cstheme="minorHAnsi"/>
                <w:color w:val="616161"/>
                <w:sz w:val="20"/>
                <w:szCs w:val="20"/>
              </w:rPr>
              <w:t> which encourages parties which are subject to CFPB’s enforcement authority to self-police and self-report potential violations of consumer financial laws. Specifically, the bulletin describes actions which could be taken by a party that would be considered “responsible conduct” and potentially result in a more favorable resolution of a CFPB enforcement investigation.</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sidRPr="00CB6F3C">
              <w:rPr>
                <w:rFonts w:asciiTheme="minorHAnsi" w:hAnsiTheme="minorHAnsi" w:cstheme="minorHAnsi"/>
                <w:color w:val="548DD4" w:themeColor="text2" w:themeTint="99"/>
                <w:sz w:val="20"/>
                <w:szCs w:val="20"/>
              </w:rPr>
              <w:lastRenderedPageBreak/>
              <w:t>July 19, 2013</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 xml:space="preserve">The American Land Title Association (ALTA) released its </w:t>
            </w:r>
            <w:hyperlink r:id="rId19" w:tgtFrame="_new" w:history="1">
              <w:r w:rsidRPr="00CB6F3C">
                <w:rPr>
                  <w:rStyle w:val="Hyperlink"/>
                  <w:rFonts w:asciiTheme="minorHAnsi" w:hAnsiTheme="minorHAnsi" w:cstheme="minorHAnsi"/>
                  <w:sz w:val="20"/>
                  <w:szCs w:val="20"/>
                </w:rPr>
                <w:t>Title Insurance and Settlement Company Best Practices Version 2.0</w:t>
              </w:r>
            </w:hyperlink>
            <w:r w:rsidRPr="00CB6F3C">
              <w:rPr>
                <w:rFonts w:asciiTheme="minorHAnsi" w:hAnsiTheme="minorHAnsi" w:cstheme="minorHAnsi"/>
                <w:color w:val="616161"/>
                <w:sz w:val="20"/>
                <w:szCs w:val="20"/>
              </w:rPr>
              <w:t xml:space="preserve">, refining the guidelines it had established with the initial release of the Best Practices on January 2, 2013. In addition, an </w:t>
            </w:r>
            <w:hyperlink w:anchor="asst_proc" w:tgtFrame="_new" w:history="1">
              <w:r w:rsidRPr="00CB6F3C">
                <w:rPr>
                  <w:rStyle w:val="Hyperlink"/>
                  <w:rFonts w:asciiTheme="minorHAnsi" w:hAnsiTheme="minorHAnsi" w:cstheme="minorHAnsi"/>
                  <w:sz w:val="20"/>
                  <w:szCs w:val="20"/>
                </w:rPr>
                <w:t>Assessment Procedures</w:t>
              </w:r>
            </w:hyperlink>
            <w:r w:rsidRPr="00CB6F3C">
              <w:rPr>
                <w:rFonts w:asciiTheme="minorHAnsi" w:hAnsiTheme="minorHAnsi" w:cstheme="minorHAnsi"/>
                <w:color w:val="616161"/>
                <w:sz w:val="20"/>
                <w:szCs w:val="20"/>
              </w:rPr>
              <w:t xml:space="preserve"> and </w:t>
            </w:r>
            <w:hyperlink w:anchor="cert_pkg" w:tgtFrame="_new" w:history="1">
              <w:r w:rsidRPr="00CB6F3C">
                <w:rPr>
                  <w:rStyle w:val="Hyperlink"/>
                  <w:rFonts w:asciiTheme="minorHAnsi" w:hAnsiTheme="minorHAnsi" w:cstheme="minorHAnsi"/>
                  <w:sz w:val="20"/>
                  <w:szCs w:val="20"/>
                </w:rPr>
                <w:t>Certification Package</w:t>
              </w:r>
            </w:hyperlink>
            <w:r w:rsidRPr="00CB6F3C">
              <w:rPr>
                <w:rFonts w:asciiTheme="minorHAnsi" w:hAnsiTheme="minorHAnsi" w:cstheme="minorHAnsi"/>
                <w:color w:val="616161"/>
                <w:sz w:val="20"/>
                <w:szCs w:val="20"/>
              </w:rPr>
              <w:t> </w:t>
            </w:r>
            <w:proofErr w:type="gramStart"/>
            <w:r w:rsidRPr="00CB6F3C">
              <w:rPr>
                <w:rFonts w:asciiTheme="minorHAnsi" w:hAnsiTheme="minorHAnsi" w:cstheme="minorHAnsi"/>
                <w:color w:val="616161"/>
                <w:sz w:val="20"/>
                <w:szCs w:val="20"/>
              </w:rPr>
              <w:t>was</w:t>
            </w:r>
            <w:proofErr w:type="gramEnd"/>
            <w:r w:rsidRPr="00CB6F3C">
              <w:rPr>
                <w:rFonts w:asciiTheme="minorHAnsi" w:hAnsiTheme="minorHAnsi" w:cstheme="minorHAnsi"/>
                <w:color w:val="616161"/>
                <w:sz w:val="20"/>
                <w:szCs w:val="20"/>
              </w:rPr>
              <w:t xml:space="preserve"> published as part of an overall Best Practices Framework to provide an objective and uniform method of determining and certifying whether an </w:t>
            </w:r>
            <w:r>
              <w:rPr>
                <w:rFonts w:asciiTheme="minorHAnsi" w:hAnsiTheme="minorHAnsi" w:cstheme="minorHAnsi"/>
                <w:color w:val="616161"/>
                <w:sz w:val="20"/>
                <w:szCs w:val="20"/>
              </w:rPr>
              <w:t xml:space="preserve">attorney or title </w:t>
            </w:r>
            <w:r w:rsidRPr="00CB6F3C">
              <w:rPr>
                <w:rFonts w:asciiTheme="minorHAnsi" w:hAnsiTheme="minorHAnsi" w:cstheme="minorHAnsi"/>
                <w:color w:val="616161"/>
                <w:sz w:val="20"/>
                <w:szCs w:val="20"/>
              </w:rPr>
              <w:t>agent meets the Best Practices standards.</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October 30, 2013</w:t>
            </w:r>
          </w:p>
        </w:tc>
        <w:tc>
          <w:tcPr>
            <w:tcW w:w="9288" w:type="dxa"/>
          </w:tcPr>
          <w:p w:rsidR="000F7E37" w:rsidRPr="00583D67" w:rsidRDefault="000F7E37" w:rsidP="00F569E8">
            <w:pPr>
              <w:pStyle w:val="NormalWeb"/>
              <w:shd w:val="clear" w:color="auto" w:fill="FFFFFF"/>
              <w:spacing w:before="0" w:beforeAutospacing="0" w:after="0" w:afterAutospacing="0"/>
              <w:rPr>
                <w:rFonts w:asciiTheme="minorHAnsi" w:hAnsiTheme="minorHAnsi" w:cstheme="minorHAnsi"/>
                <w:color w:val="7F7F7F" w:themeColor="text1" w:themeTint="80"/>
                <w:sz w:val="20"/>
                <w:szCs w:val="20"/>
              </w:rPr>
            </w:pPr>
            <w:r w:rsidRPr="00583D67">
              <w:rPr>
                <w:rFonts w:asciiTheme="minorHAnsi" w:hAnsiTheme="minorHAnsi" w:cstheme="minorHAnsi"/>
                <w:color w:val="7F7F7F" w:themeColor="text1" w:themeTint="80"/>
                <w:sz w:val="20"/>
                <w:szCs w:val="20"/>
              </w:rPr>
              <w:t xml:space="preserve">OCC issued </w:t>
            </w:r>
            <w:hyperlink r:id="rId20" w:anchor="ft1" w:history="1">
              <w:r w:rsidRPr="00EC24F7">
                <w:rPr>
                  <w:rStyle w:val="Hyperlink"/>
                  <w:rFonts w:asciiTheme="minorHAnsi" w:hAnsiTheme="minorHAnsi" w:cstheme="minorHAnsi"/>
                  <w:sz w:val="20"/>
                  <w:szCs w:val="20"/>
                  <w14:textFill>
                    <w14:solidFill>
                      <w14:srgbClr w14:val="0000FF">
                        <w14:lumMod w14:val="50000"/>
                        <w14:lumOff w14:val="50000"/>
                      </w14:srgbClr>
                    </w14:solidFill>
                  </w14:textFill>
                </w:rPr>
                <w:t>OCC Bulletin 2013-29, Risk Management Guidance</w:t>
              </w:r>
            </w:hyperlink>
            <w:r>
              <w:rPr>
                <w:rFonts w:asciiTheme="minorHAnsi" w:hAnsiTheme="minorHAnsi" w:cstheme="minorHAnsi"/>
                <w:color w:val="7F7F7F" w:themeColor="text1" w:themeTint="80"/>
                <w:sz w:val="20"/>
                <w:szCs w:val="20"/>
              </w:rPr>
              <w:t xml:space="preserve"> </w:t>
            </w:r>
            <w:r w:rsidRPr="00583D67">
              <w:rPr>
                <w:rFonts w:asciiTheme="minorHAnsi" w:hAnsiTheme="minorHAnsi" w:cstheme="minorHAnsi"/>
                <w:color w:val="7F7F7F" w:themeColor="text1" w:themeTint="80"/>
                <w:sz w:val="20"/>
                <w:szCs w:val="20"/>
              </w:rPr>
              <w:t xml:space="preserve"> outlining responsibilities of national banks and federal savings institutions (and therefore their vendors) regarding Third-Party Relationships, replacing OCC Bulletin 2001-47, “Third-Party Relationships: Risk Management Principles,” and OCC Advisory Letter 2000-9, “Third-Party Risk.”.</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 xml:space="preserve">November 20, </w:t>
            </w:r>
            <w:r w:rsidRPr="00CB6F3C">
              <w:rPr>
                <w:rFonts w:asciiTheme="minorHAnsi" w:hAnsiTheme="minorHAnsi" w:cstheme="minorHAnsi"/>
                <w:color w:val="548DD4" w:themeColor="text2" w:themeTint="99"/>
                <w:sz w:val="20"/>
                <w:szCs w:val="20"/>
              </w:rPr>
              <w:t>2013</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sidRPr="00CB6F3C">
              <w:rPr>
                <w:rFonts w:asciiTheme="minorHAnsi" w:hAnsiTheme="minorHAnsi" w:cstheme="minorHAnsi"/>
                <w:color w:val="616161"/>
                <w:sz w:val="20"/>
                <w:szCs w:val="20"/>
              </w:rPr>
              <w:t>The CFPB release</w:t>
            </w:r>
            <w:r>
              <w:rPr>
                <w:rFonts w:asciiTheme="minorHAnsi" w:hAnsiTheme="minorHAnsi" w:cstheme="minorHAnsi"/>
                <w:color w:val="616161"/>
                <w:sz w:val="20"/>
                <w:szCs w:val="20"/>
              </w:rPr>
              <w:t>d</w:t>
            </w:r>
            <w:r w:rsidRPr="00CB6F3C">
              <w:rPr>
                <w:rFonts w:asciiTheme="minorHAnsi" w:hAnsiTheme="minorHAnsi" w:cstheme="minorHAnsi"/>
                <w:color w:val="616161"/>
                <w:sz w:val="20"/>
                <w:szCs w:val="20"/>
              </w:rPr>
              <w:t xml:space="preserve"> the </w:t>
            </w:r>
            <w:hyperlink r:id="rId21" w:history="1">
              <w:r w:rsidRPr="00EC24F7">
                <w:rPr>
                  <w:rStyle w:val="Hyperlink"/>
                  <w:rFonts w:asciiTheme="minorHAnsi" w:hAnsiTheme="minorHAnsi" w:cstheme="minorHAnsi"/>
                  <w:sz w:val="20"/>
                  <w:szCs w:val="20"/>
                </w:rPr>
                <w:t>final rule</w:t>
              </w:r>
            </w:hyperlink>
            <w:r w:rsidRPr="00CB6F3C">
              <w:rPr>
                <w:rFonts w:asciiTheme="minorHAnsi" w:hAnsiTheme="minorHAnsi" w:cstheme="minorHAnsi"/>
                <w:color w:val="616161"/>
                <w:sz w:val="20"/>
                <w:szCs w:val="20"/>
              </w:rPr>
              <w:t xml:space="preserve"> </w:t>
            </w:r>
            <w:r>
              <w:rPr>
                <w:rFonts w:asciiTheme="minorHAnsi" w:hAnsiTheme="minorHAnsi" w:cstheme="minorHAnsi"/>
                <w:color w:val="616161"/>
                <w:sz w:val="20"/>
                <w:szCs w:val="20"/>
              </w:rPr>
              <w:t xml:space="preserve">and “Know Before You Owe” disclosure forms </w:t>
            </w:r>
            <w:r w:rsidRPr="00CB6F3C">
              <w:rPr>
                <w:rFonts w:asciiTheme="minorHAnsi" w:hAnsiTheme="minorHAnsi" w:cstheme="minorHAnsi"/>
                <w:color w:val="616161"/>
                <w:sz w:val="20"/>
                <w:szCs w:val="20"/>
              </w:rPr>
              <w:t xml:space="preserve">merging </w:t>
            </w:r>
            <w:r>
              <w:rPr>
                <w:rFonts w:asciiTheme="minorHAnsi" w:hAnsiTheme="minorHAnsi" w:cstheme="minorHAnsi"/>
                <w:color w:val="616161"/>
                <w:sz w:val="20"/>
                <w:szCs w:val="20"/>
              </w:rPr>
              <w:t xml:space="preserve">disclosure </w:t>
            </w:r>
            <w:r w:rsidRPr="00CB6F3C">
              <w:rPr>
                <w:rFonts w:asciiTheme="minorHAnsi" w:hAnsiTheme="minorHAnsi" w:cstheme="minorHAnsi"/>
                <w:color w:val="616161"/>
                <w:sz w:val="20"/>
                <w:szCs w:val="20"/>
              </w:rPr>
              <w:t>forms for most residential real estate transactions</w:t>
            </w:r>
            <w:r>
              <w:rPr>
                <w:rFonts w:asciiTheme="minorHAnsi" w:hAnsiTheme="minorHAnsi" w:cstheme="minorHAnsi"/>
                <w:color w:val="616161"/>
                <w:sz w:val="20"/>
                <w:szCs w:val="20"/>
              </w:rPr>
              <w:t>, combining the HUD-1, GFE and TIL.</w:t>
            </w:r>
            <w:r w:rsidRPr="00CB6F3C">
              <w:rPr>
                <w:rFonts w:asciiTheme="minorHAnsi" w:hAnsiTheme="minorHAnsi" w:cstheme="minorHAnsi"/>
                <w:color w:val="616161"/>
                <w:sz w:val="20"/>
                <w:szCs w:val="20"/>
              </w:rPr>
              <w:t xml:space="preserve"> </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December 5, 2013</w:t>
            </w:r>
          </w:p>
        </w:tc>
        <w:tc>
          <w:tcPr>
            <w:tcW w:w="9288" w:type="dxa"/>
          </w:tcPr>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Federal Reserve Board released “</w:t>
            </w:r>
            <w:hyperlink r:id="rId22" w:history="1">
              <w:r w:rsidRPr="00EC24F7">
                <w:rPr>
                  <w:rStyle w:val="Hyperlink"/>
                  <w:rFonts w:asciiTheme="minorHAnsi" w:hAnsiTheme="minorHAnsi" w:cstheme="minorHAnsi"/>
                  <w:sz w:val="20"/>
                  <w:szCs w:val="20"/>
                </w:rPr>
                <w:t>Guidance on Managing Outsourcing Risk</w:t>
              </w:r>
            </w:hyperlink>
            <w:r>
              <w:rPr>
                <w:rFonts w:asciiTheme="minorHAnsi" w:hAnsiTheme="minorHAnsi" w:cstheme="minorHAnsi"/>
                <w:color w:val="616161"/>
                <w:sz w:val="20"/>
                <w:szCs w:val="20"/>
              </w:rPr>
              <w:t>” for financial institutions</w:t>
            </w:r>
          </w:p>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January 16, 2014</w:t>
            </w:r>
          </w:p>
        </w:tc>
        <w:tc>
          <w:tcPr>
            <w:tcW w:w="9288" w:type="dxa"/>
          </w:tcPr>
          <w:p w:rsidR="000F7E37" w:rsidRDefault="009A143A" w:rsidP="00F569E8">
            <w:pPr>
              <w:pStyle w:val="NormalWeb"/>
              <w:shd w:val="clear" w:color="auto" w:fill="FFFFFF"/>
              <w:spacing w:before="0" w:beforeAutospacing="0" w:after="0" w:afterAutospacing="0"/>
              <w:rPr>
                <w:rFonts w:asciiTheme="minorHAnsi" w:hAnsiTheme="minorHAnsi" w:cstheme="minorHAnsi"/>
                <w:color w:val="616161"/>
                <w:sz w:val="20"/>
                <w:szCs w:val="20"/>
              </w:rPr>
            </w:pPr>
            <w:hyperlink r:id="rId23" w:history="1">
              <w:r w:rsidR="000F7E37" w:rsidRPr="00D1131B">
                <w:rPr>
                  <w:rStyle w:val="Hyperlink"/>
                  <w:rFonts w:asciiTheme="minorHAnsi" w:hAnsiTheme="minorHAnsi" w:cstheme="minorHAnsi"/>
                  <w:sz w:val="20"/>
                  <w:szCs w:val="20"/>
                </w:rPr>
                <w:t>OCC Guidelines Establishing Heightened Standards</w:t>
              </w:r>
            </w:hyperlink>
            <w:r w:rsidR="000F7E37">
              <w:rPr>
                <w:rFonts w:asciiTheme="minorHAnsi" w:hAnsiTheme="minorHAnsi" w:cstheme="minorHAnsi"/>
                <w:color w:val="616161"/>
                <w:sz w:val="20"/>
                <w:szCs w:val="20"/>
              </w:rPr>
              <w:t xml:space="preserve"> (79 page regulation)</w:t>
            </w:r>
          </w:p>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March 6, 2014</w:t>
            </w:r>
          </w:p>
        </w:tc>
        <w:tc>
          <w:tcPr>
            <w:tcW w:w="9288" w:type="dxa"/>
          </w:tcPr>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Wells Fargo issues announcement in its Settlement Agent Communications, that it supports ALTA’s Best Practices</w:t>
            </w:r>
          </w:p>
        </w:tc>
      </w:tr>
      <w:tr w:rsidR="000F7E37" w:rsidRPr="00CB6F3C" w:rsidTr="00F569E8">
        <w:tc>
          <w:tcPr>
            <w:tcW w:w="1728" w:type="dxa"/>
          </w:tcPr>
          <w:p w:rsidR="000F7E37"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9A143A" w:rsidRPr="00CB6F3C" w:rsidTr="00F569E8">
        <w:tc>
          <w:tcPr>
            <w:tcW w:w="1728" w:type="dxa"/>
          </w:tcPr>
          <w:p w:rsidR="009A143A" w:rsidRDefault="009A143A"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April, 2015</w:t>
            </w:r>
          </w:p>
        </w:tc>
        <w:tc>
          <w:tcPr>
            <w:tcW w:w="9288" w:type="dxa"/>
          </w:tcPr>
          <w:p w:rsidR="009A143A" w:rsidRDefault="009A143A" w:rsidP="00F569E8">
            <w:pPr>
              <w:pStyle w:val="NormalWeb"/>
              <w:shd w:val="clear" w:color="auto" w:fill="FFFFFF"/>
              <w:spacing w:before="0" w:beforeAutospacing="0" w:after="0" w:afterAutospacing="0"/>
              <w:rPr>
                <w:rStyle w:val="Hyperlink"/>
              </w:rPr>
            </w:pPr>
            <w:hyperlink r:id="rId24" w:history="1">
              <w:r w:rsidRPr="009A143A">
                <w:rPr>
                  <w:rStyle w:val="Hyperlink"/>
                </w:rPr>
                <w:t>AICPA Technical Questions and Answers – Section 9540</w:t>
              </w:r>
            </w:hyperlink>
            <w:r>
              <w:t xml:space="preserve">, Attest Engagement:  American Land Title Association Best Practices Framework , </w:t>
            </w:r>
            <w:bookmarkStart w:id="1" w:name="_GoBack"/>
            <w:bookmarkEnd w:id="1"/>
          </w:p>
          <w:p w:rsidR="009A143A" w:rsidRDefault="009A143A"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r w:rsidR="000F7E37" w:rsidRPr="00CB6F3C" w:rsidTr="00F569E8">
        <w:tc>
          <w:tcPr>
            <w:tcW w:w="1728" w:type="dxa"/>
          </w:tcPr>
          <w:p w:rsidR="000F7E37" w:rsidRPr="00CB6F3C" w:rsidRDefault="009A143A" w:rsidP="00F569E8">
            <w:pPr>
              <w:pStyle w:val="Heading2"/>
              <w:shd w:val="clear" w:color="auto" w:fill="FFFFFF"/>
              <w:spacing w:before="0"/>
              <w:outlineLvl w:val="1"/>
              <w:rPr>
                <w:rFonts w:asciiTheme="minorHAnsi" w:hAnsiTheme="minorHAnsi" w:cstheme="minorHAnsi"/>
                <w:color w:val="548DD4" w:themeColor="text2" w:themeTint="99"/>
                <w:sz w:val="20"/>
                <w:szCs w:val="20"/>
              </w:rPr>
            </w:pPr>
            <w:r>
              <w:rPr>
                <w:rFonts w:asciiTheme="minorHAnsi" w:hAnsiTheme="minorHAnsi" w:cstheme="minorHAnsi"/>
                <w:color w:val="548DD4" w:themeColor="text2" w:themeTint="99"/>
                <w:sz w:val="20"/>
                <w:szCs w:val="20"/>
              </w:rPr>
              <w:t>October 3</w:t>
            </w:r>
            <w:r w:rsidR="000F7E37">
              <w:rPr>
                <w:rFonts w:asciiTheme="minorHAnsi" w:hAnsiTheme="minorHAnsi" w:cstheme="minorHAnsi"/>
                <w:color w:val="548DD4" w:themeColor="text2" w:themeTint="99"/>
                <w:sz w:val="20"/>
                <w:szCs w:val="20"/>
              </w:rPr>
              <w:t>, 2015</w:t>
            </w:r>
          </w:p>
          <w:p w:rsidR="000F7E37" w:rsidRPr="00CB6F3C" w:rsidRDefault="000F7E37" w:rsidP="00F569E8">
            <w:pPr>
              <w:pStyle w:val="Heading2"/>
              <w:shd w:val="clear" w:color="auto" w:fill="FFFFFF"/>
              <w:spacing w:before="0"/>
              <w:outlineLvl w:val="1"/>
              <w:rPr>
                <w:rFonts w:asciiTheme="minorHAnsi" w:hAnsiTheme="minorHAnsi" w:cstheme="minorHAnsi"/>
                <w:color w:val="548DD4" w:themeColor="text2" w:themeTint="99"/>
                <w:sz w:val="20"/>
                <w:szCs w:val="20"/>
              </w:rPr>
            </w:pPr>
          </w:p>
        </w:tc>
        <w:tc>
          <w:tcPr>
            <w:tcW w:w="9288" w:type="dxa"/>
          </w:tcPr>
          <w:p w:rsidR="000F7E37"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r>
              <w:rPr>
                <w:rFonts w:asciiTheme="minorHAnsi" w:hAnsiTheme="minorHAnsi" w:cstheme="minorHAnsi"/>
                <w:color w:val="616161"/>
                <w:sz w:val="20"/>
                <w:szCs w:val="20"/>
              </w:rPr>
              <w:t>Final implementation date of the “Know Before You Owe” revised combined mortgage disclosures.</w:t>
            </w: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p w:rsidR="000F7E37" w:rsidRPr="00CB6F3C" w:rsidRDefault="000F7E37" w:rsidP="00F569E8">
            <w:pPr>
              <w:pStyle w:val="NormalWeb"/>
              <w:shd w:val="clear" w:color="auto" w:fill="FFFFFF"/>
              <w:spacing w:before="0" w:beforeAutospacing="0" w:after="0" w:afterAutospacing="0"/>
              <w:rPr>
                <w:rFonts w:asciiTheme="minorHAnsi" w:hAnsiTheme="minorHAnsi" w:cstheme="minorHAnsi"/>
                <w:color w:val="616161"/>
                <w:sz w:val="20"/>
                <w:szCs w:val="20"/>
              </w:rPr>
            </w:pPr>
          </w:p>
        </w:tc>
      </w:tr>
    </w:tbl>
    <w:p w:rsidR="00A16975" w:rsidRDefault="00A16975"/>
    <w:sectPr w:rsidR="00A1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7"/>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3A1A"/>
    <w:rsid w:val="000F57CC"/>
    <w:rsid w:val="000F7E37"/>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143A"/>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177A"/>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37"/>
  </w:style>
  <w:style w:type="paragraph" w:styleId="Heading2">
    <w:name w:val="heading 2"/>
    <w:basedOn w:val="Normal"/>
    <w:next w:val="Normal"/>
    <w:link w:val="Heading2Char"/>
    <w:uiPriority w:val="9"/>
    <w:unhideWhenUsed/>
    <w:qFormat/>
    <w:rsid w:val="000F7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E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7E37"/>
    <w:rPr>
      <w:color w:val="0000FF"/>
      <w:u w:val="single"/>
    </w:rPr>
  </w:style>
  <w:style w:type="paragraph" w:styleId="NormalWeb">
    <w:name w:val="Normal (Web)"/>
    <w:basedOn w:val="Normal"/>
    <w:uiPriority w:val="99"/>
    <w:unhideWhenUsed/>
    <w:rsid w:val="000F7E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E37"/>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F7E37"/>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37"/>
  </w:style>
  <w:style w:type="paragraph" w:styleId="Heading2">
    <w:name w:val="heading 2"/>
    <w:basedOn w:val="Normal"/>
    <w:next w:val="Normal"/>
    <w:link w:val="Heading2Char"/>
    <w:uiPriority w:val="9"/>
    <w:unhideWhenUsed/>
    <w:qFormat/>
    <w:rsid w:val="000F7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E3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7E37"/>
    <w:rPr>
      <w:color w:val="0000FF"/>
      <w:u w:val="single"/>
    </w:rPr>
  </w:style>
  <w:style w:type="paragraph" w:styleId="NormalWeb">
    <w:name w:val="Normal (Web)"/>
    <w:basedOn w:val="Normal"/>
    <w:uiPriority w:val="99"/>
    <w:unhideWhenUsed/>
    <w:rsid w:val="000F7E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E37"/>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F7E37"/>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 TargetMode="External"/><Relationship Id="rId13" Type="http://schemas.openxmlformats.org/officeDocument/2006/relationships/hyperlink" Target="http://files.consumerfinance.gov/f/201204_cfpb_bulletin_service-providers.pdf" TargetMode="External"/><Relationship Id="rId18" Type="http://schemas.openxmlformats.org/officeDocument/2006/relationships/hyperlink" Target="http://files.consumerfinance.gov/f/201306_cfpb_bulletin_responsible-conduc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newsroom/cfpb-finalizes-know-before-you-owe-mortgage-forms/http:/www.consumerfinance.gov/newsroom/cfpb-finalizes-know-before-you-owe-mortgage-forms/" TargetMode="External"/><Relationship Id="rId7" Type="http://schemas.openxmlformats.org/officeDocument/2006/relationships/hyperlink" Target="http://www.sec.gov/about/laws/wallstreetreform-cpa.pdf" TargetMode="External"/><Relationship Id="rId12" Type="http://schemas.openxmlformats.org/officeDocument/2006/relationships/hyperlink" Target="http://www.consumerfinance.gov/guidance/" TargetMode="External"/><Relationship Id="rId17" Type="http://schemas.openxmlformats.org/officeDocument/2006/relationships/hyperlink" Target="http://www.alta.org/bestpractice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ta.org" TargetMode="External"/><Relationship Id="rId20" Type="http://schemas.openxmlformats.org/officeDocument/2006/relationships/hyperlink" Target="http://www.occ.gov/news-issuances/bulletins/2013/bulletin-2013-29.html" TargetMode="External"/><Relationship Id="rId1" Type="http://schemas.openxmlformats.org/officeDocument/2006/relationships/styles" Target="styles.xml"/><Relationship Id="rId6" Type="http://schemas.openxmlformats.org/officeDocument/2006/relationships/hyperlink" Target="http://www.ecfr.gov" TargetMode="External"/><Relationship Id="rId11" Type="http://schemas.openxmlformats.org/officeDocument/2006/relationships/hyperlink" Target="http://files.consumerfinance.gov/f/201209_CFPB_depository-institutions-list.pdf" TargetMode="External"/><Relationship Id="rId24" Type="http://schemas.openxmlformats.org/officeDocument/2006/relationships/hyperlink" Target="http://www.aicpa.org/InterestAreas/FRC/DownloadableDocuments/TQA_Sections/TQA_Section_9540.pdf" TargetMode="External"/><Relationship Id="rId5" Type="http://schemas.openxmlformats.org/officeDocument/2006/relationships/hyperlink" Target="http://ftc.gov/privacy/privacyinitiatives/PrivacyModelForm_FR.pdf" TargetMode="External"/><Relationship Id="rId15" Type="http://schemas.openxmlformats.org/officeDocument/2006/relationships/hyperlink" Target="http://files.consumerfinance.gov/f/201211_cfpb_final-rule_title-XIV-disclosures-extension.pdf" TargetMode="External"/><Relationship Id="rId23" Type="http://schemas.openxmlformats.org/officeDocument/2006/relationships/hyperlink" Target="http://www.occ.gov/news-issuances/news-releases/2014/nr-occ-2014-4a.pdf" TargetMode="External"/><Relationship Id="rId10" Type="http://schemas.openxmlformats.org/officeDocument/2006/relationships/hyperlink" Target="http://www.consumerfinance.gov/pressreleases/consumer-agency-to-partner-with-state-regulators/" TargetMode="External"/><Relationship Id="rId19" Type="http://schemas.openxmlformats.org/officeDocument/2006/relationships/hyperlink" Target="http://www.alta.org/bestpractices" TargetMode="External"/><Relationship Id="rId4" Type="http://schemas.openxmlformats.org/officeDocument/2006/relationships/webSettings" Target="webSettings.xml"/><Relationship Id="rId9" Type="http://schemas.openxmlformats.org/officeDocument/2006/relationships/hyperlink" Target="http://www.consumerfinance.gov/" TargetMode="External"/><Relationship Id="rId14" Type="http://schemas.openxmlformats.org/officeDocument/2006/relationships/hyperlink" Target="http://www.regulations.gov/" TargetMode="External"/><Relationship Id="rId22" Type="http://schemas.openxmlformats.org/officeDocument/2006/relationships/hyperlink" Target="http://www.federalreserve.gov/bankinforeg/srletters/sr131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2015-07-22T10:45:00Z</dcterms:created>
  <dcterms:modified xsi:type="dcterms:W3CDTF">2015-07-22T10:45:00Z</dcterms:modified>
</cp:coreProperties>
</file>